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DC" w:rsidRPr="00295EDC" w:rsidRDefault="00295EDC" w:rsidP="00295EDC">
      <w:pPr>
        <w:pStyle w:val="Nadpis1"/>
        <w:shd w:val="clear" w:color="auto" w:fill="FFFFFF"/>
        <w:spacing w:before="0"/>
        <w:rPr>
          <w:rFonts w:ascii="Segoe UI" w:hAnsi="Segoe UI" w:cs="Segoe UI"/>
          <w:bCs w:val="0"/>
          <w:color w:val="auto"/>
          <w:sz w:val="44"/>
          <w:szCs w:val="44"/>
        </w:rPr>
      </w:pPr>
      <w:r w:rsidRPr="00295EDC">
        <w:rPr>
          <w:rFonts w:ascii="Segoe UI" w:hAnsi="Segoe UI" w:cs="Segoe UI"/>
          <w:b w:val="0"/>
          <w:bCs w:val="0"/>
          <w:color w:val="auto"/>
          <w:sz w:val="44"/>
          <w:szCs w:val="44"/>
          <w:highlight w:val="yellow"/>
        </w:rPr>
        <w:t>Zákon o svobodném přístupu k informacím ve znění novely účinné od 01.09.2022</w:t>
      </w:r>
    </w:p>
    <w:p w:rsid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Zákon č. 106/1999 Sb., o svobodném přístupu k informacím, ve znění pozdějších předpisů (dále jen „zákon o svobodném přístupu k informacím“), byl dotčen novelou provedenou zákonem č. 241/2022 Sb., jejíž účinnost nastala dnem 01.09.2022. Ministerstvo vnitra jako gestor této oblasti na tuto novelu reagovalo zveřejněním metodické pomůcky, která osvětluje novelu z pohledu její aplikace v praxi.</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hyperlink r:id="rId5" w:tgtFrame="_blank" w:history="1">
        <w:r w:rsidRPr="00295EDC">
          <w:rPr>
            <w:rFonts w:ascii="Segoe UI" w:eastAsia="Times New Roman" w:hAnsi="Segoe UI" w:cs="Segoe UI"/>
            <w:color w:val="C81D2F"/>
            <w:sz w:val="24"/>
            <w:szCs w:val="24"/>
            <w:u w:val="single"/>
            <w:lang w:eastAsia="cs-CZ"/>
          </w:rPr>
          <w:t>Informace MV ČR ke změně zákona č. 106/1999 Sb., o svobodném přístup k informacím ke stažení</w:t>
        </w:r>
      </w:hyperlink>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Hlavní účelem novely zákona o svobodném přístupu k informacím je transpozice Směrnice 2019/1024 ze dne 20. června 2019 o otevřených datech a opakovaném použití informací veřejného sektoru (dále jen „Směrnice“). Termín pro transpozici do českého právního řádu stanovila Směrnice do 17. 07. 2021, avšak ke konečné transpozici došlo až zmíněnou novelizací s účinností od 01. 09. 2022.</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Pokud bychom se pokusili o definici zásadních změn, ke kterým v důsledku transpozice Směrnice dochází, jedná se zejména o níže uvedené:</w:t>
      </w:r>
    </w:p>
    <w:p w:rsidR="00295EDC" w:rsidRPr="00295EDC" w:rsidRDefault="00295EDC" w:rsidP="00295ED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Veřejné podniky mají informační povinnost – jedná se o podniky pohybující se v odvětví dopravy (v rámci závazků veřejné služby) a veřejných služeb (vykonávající relevantní činnosti). Nově jimi budou právnické osoby ovládané státem či samosprávou (tj. v nichž stát či samospráva vykonává dominantní vliv), pokud vykonávají činnosti veřejného podniku. Výluka z povinnosti poskytovat informace se dotýká těch činností, které jsou uskutečňovány v běžném obchodním styku v rozsahu předmětu činnosti nebo podnikání veřejného podniku nebo veřejné instituce nebo pokud mají obchodní nebo průmyslovou povahu a poskytnutí informace by veřejný podnik nebo veřejnou instituci znevýhodnilo na relevantním trhu.</w:t>
      </w:r>
    </w:p>
    <w:p w:rsidR="00295EDC" w:rsidRPr="00295EDC" w:rsidRDefault="00295EDC" w:rsidP="00295ED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Přístup k tzv. výzkumným datům – jedná se o specifickou kategorii dokumentů vypracovaných v rámci vědeckého výzkumu podporovaného z veřejných prostředků, a to na výsledky vědeckého zjišťovacího procesu (experimenty, průzkumy a podobně). Publikace ve vědeckých časopisech jsou nadále vyloučeny z oblasti působnosti.</w:t>
      </w:r>
    </w:p>
    <w:p w:rsidR="00295EDC" w:rsidRPr="00295EDC" w:rsidRDefault="00295EDC" w:rsidP="00295ED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Možnost publikace dynamických dat (dat, které se v průběhu času mění, např. meteorologická data) prostřednictvím programovatelných aplikačních rozhraní.</w:t>
      </w:r>
    </w:p>
    <w:p w:rsidR="00295EDC" w:rsidRPr="00295EDC" w:rsidRDefault="00295EDC" w:rsidP="00295ED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Úprava tzv. datových souborů s vysokou hodnotou (</w:t>
      </w:r>
      <w:proofErr w:type="spellStart"/>
      <w:r w:rsidRPr="00295EDC">
        <w:rPr>
          <w:rFonts w:ascii="Segoe UI" w:eastAsia="Times New Roman" w:hAnsi="Segoe UI" w:cs="Segoe UI"/>
          <w:color w:val="212529"/>
          <w:sz w:val="24"/>
          <w:szCs w:val="24"/>
          <w:lang w:eastAsia="cs-CZ"/>
        </w:rPr>
        <w:t>high</w:t>
      </w:r>
      <w:proofErr w:type="spellEnd"/>
      <w:r w:rsidRPr="00295EDC">
        <w:rPr>
          <w:rFonts w:ascii="Segoe UI" w:eastAsia="Times New Roman" w:hAnsi="Segoe UI" w:cs="Segoe UI"/>
          <w:color w:val="212529"/>
          <w:sz w:val="24"/>
          <w:szCs w:val="24"/>
          <w:lang w:eastAsia="cs-CZ"/>
        </w:rPr>
        <w:t>-</w:t>
      </w:r>
      <w:proofErr w:type="spellStart"/>
      <w:r w:rsidRPr="00295EDC">
        <w:rPr>
          <w:rFonts w:ascii="Segoe UI" w:eastAsia="Times New Roman" w:hAnsi="Segoe UI" w:cs="Segoe UI"/>
          <w:color w:val="212529"/>
          <w:sz w:val="24"/>
          <w:szCs w:val="24"/>
          <w:lang w:eastAsia="cs-CZ"/>
        </w:rPr>
        <w:t>value</w:t>
      </w:r>
      <w:proofErr w:type="spellEnd"/>
      <w:r w:rsidRPr="00295EDC">
        <w:rPr>
          <w:rFonts w:ascii="Segoe UI" w:eastAsia="Times New Roman" w:hAnsi="Segoe UI" w:cs="Segoe UI"/>
          <w:color w:val="212529"/>
          <w:sz w:val="24"/>
          <w:szCs w:val="24"/>
          <w:lang w:eastAsia="cs-CZ"/>
        </w:rPr>
        <w:t xml:space="preserve"> </w:t>
      </w:r>
      <w:proofErr w:type="spellStart"/>
      <w:r w:rsidRPr="00295EDC">
        <w:rPr>
          <w:rFonts w:ascii="Segoe UI" w:eastAsia="Times New Roman" w:hAnsi="Segoe UI" w:cs="Segoe UI"/>
          <w:color w:val="212529"/>
          <w:sz w:val="24"/>
          <w:szCs w:val="24"/>
          <w:lang w:eastAsia="cs-CZ"/>
        </w:rPr>
        <w:t>datasets</w:t>
      </w:r>
      <w:proofErr w:type="spellEnd"/>
      <w:r w:rsidRPr="00295EDC">
        <w:rPr>
          <w:rFonts w:ascii="Segoe UI" w:eastAsia="Times New Roman" w:hAnsi="Segoe UI" w:cs="Segoe UI"/>
          <w:color w:val="212529"/>
          <w:sz w:val="24"/>
          <w:szCs w:val="24"/>
          <w:lang w:eastAsia="cs-CZ"/>
        </w:rPr>
        <w:t xml:space="preserve">), které mají být bezplatně zpřístupněny. Jedná se např. o </w:t>
      </w:r>
      <w:proofErr w:type="spellStart"/>
      <w:r w:rsidRPr="00295EDC">
        <w:rPr>
          <w:rFonts w:ascii="Segoe UI" w:eastAsia="Times New Roman" w:hAnsi="Segoe UI" w:cs="Segoe UI"/>
          <w:color w:val="212529"/>
          <w:sz w:val="24"/>
          <w:szCs w:val="24"/>
          <w:lang w:eastAsia="cs-CZ"/>
        </w:rPr>
        <w:t>geoprostorové</w:t>
      </w:r>
      <w:proofErr w:type="spellEnd"/>
      <w:r w:rsidRPr="00295EDC">
        <w:rPr>
          <w:rFonts w:ascii="Segoe UI" w:eastAsia="Times New Roman" w:hAnsi="Segoe UI" w:cs="Segoe UI"/>
          <w:color w:val="212529"/>
          <w:sz w:val="24"/>
          <w:szCs w:val="24"/>
          <w:lang w:eastAsia="cs-CZ"/>
        </w:rPr>
        <w:t xml:space="preserve"> údaje, </w:t>
      </w:r>
      <w:r w:rsidRPr="00295EDC">
        <w:rPr>
          <w:rFonts w:ascii="Segoe UI" w:eastAsia="Times New Roman" w:hAnsi="Segoe UI" w:cs="Segoe UI"/>
          <w:color w:val="212529"/>
          <w:sz w:val="24"/>
          <w:szCs w:val="24"/>
          <w:lang w:eastAsia="cs-CZ"/>
        </w:rPr>
        <w:lastRenderedPageBreak/>
        <w:t>pozorování Země a životní prostředí, meteorologie, statistika, společnosti a vlastnictví společností, mobilita.</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V důsledku této změny došlo k rozšíření informační povinnosti pouze tam, kde to Směrnice výslovně vyžadovala a to v minimalistické podobě.</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Dále byly do novelizace zahrnuty změny vyvolané aplikační praxí, které jsou pro povinné subjekty naprosto zásadní. Většina změn nabývá účinnosti od 01.01.2023 a jedná se o např.:</w:t>
      </w:r>
    </w:p>
    <w:p w:rsidR="00295EDC" w:rsidRPr="00295EDC" w:rsidRDefault="00295EDC" w:rsidP="00295EDC">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zakotvení možnosti odmítnout žádost o informace z důvodu zneužití práva na informace spočívajícího ve využití informační žádosti jako prostředku nátlaku na fyzickou osobu, jíž se informace týkají, nebo vyvolávající nepřiměřenou zátěž na straně povinného subjektu.</w:t>
      </w:r>
    </w:p>
    <w:p w:rsidR="00295EDC" w:rsidRPr="00295EDC" w:rsidRDefault="00295EDC" w:rsidP="00295EDC">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možnost odmítnout žádost z důvodu neexistence požadované informace. Žádost bude možné odmítnout, pokud povinný subjekt poptávanou informaci nemá a ze zákona mu ani nevyplývá povinnost ji mít.</w:t>
      </w:r>
    </w:p>
    <w:p w:rsidR="00295EDC" w:rsidRPr="00295EDC" w:rsidRDefault="00295EDC" w:rsidP="00295EDC">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 xml:space="preserve">zanesení ochrany informací, jejichž zpřístupnění by mohlo ohrozit rovnost účastníků soudního, arbitrážního či jiného řízení (a to i před zahájením takového řízení) – jedná se </w:t>
      </w:r>
      <w:proofErr w:type="spellStart"/>
      <w:r w:rsidRPr="00295EDC">
        <w:rPr>
          <w:rFonts w:ascii="Segoe UI" w:eastAsia="Times New Roman" w:hAnsi="Segoe UI" w:cs="Segoe UI"/>
          <w:color w:val="212529"/>
          <w:sz w:val="24"/>
          <w:szCs w:val="24"/>
          <w:lang w:eastAsia="cs-CZ"/>
        </w:rPr>
        <w:t>příkladmo</w:t>
      </w:r>
      <w:proofErr w:type="spellEnd"/>
      <w:r w:rsidRPr="00295EDC">
        <w:rPr>
          <w:rFonts w:ascii="Segoe UI" w:eastAsia="Times New Roman" w:hAnsi="Segoe UI" w:cs="Segoe UI"/>
          <w:color w:val="212529"/>
          <w:sz w:val="24"/>
          <w:szCs w:val="24"/>
          <w:lang w:eastAsia="cs-CZ"/>
        </w:rPr>
        <w:t xml:space="preserve"> o právní analýzy, rešerše, posudky apod.</w:t>
      </w:r>
    </w:p>
    <w:p w:rsidR="00295EDC" w:rsidRPr="00295EDC" w:rsidRDefault="00295EDC" w:rsidP="00295EDC">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výslovnou úpravu ochrany informací, jejichž zpřístupnění by mohlo přímo nebo významně narušit ochranu kritické infrastruktury.</w:t>
      </w:r>
    </w:p>
    <w:p w:rsidR="00295EDC" w:rsidRPr="00295EDC" w:rsidRDefault="00295EDC" w:rsidP="00295EDC">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výslovná úpravu pravidel pro poskytování informací o platech a odměnách vyplacených z veřejných prostředků.</w:t>
      </w:r>
    </w:p>
    <w:p w:rsidR="00295EDC" w:rsidRPr="00295EDC" w:rsidRDefault="00295EDC" w:rsidP="00295EDC">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procesní úpravu v oblasti zjednodušeného vyřízení žádosti o informace.</w:t>
      </w:r>
    </w:p>
    <w:p w:rsidR="00295EDC" w:rsidRPr="00295EDC" w:rsidRDefault="00295EDC" w:rsidP="00295EDC">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zavedení Centrálního registru výročních zpráv, který bude Ministerstvo vnitra provozovat od 01.01.2024 s tím, že povinné subjekty budou moci dobrovolně zveřejňovat své výroční zprávy.</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 xml:space="preserve">Ministerstvo vnitra je připraveno metodickou pomůcku průběžně aktualizovat zejména o poznatky, jež vyplynou z aplikační praxe. Tyto je možné sdělit i příslušným odborům, jimiž jsou odbor Hlavního architekta </w:t>
      </w:r>
      <w:proofErr w:type="spellStart"/>
      <w:r w:rsidRPr="00295EDC">
        <w:rPr>
          <w:rFonts w:ascii="Segoe UI" w:eastAsia="Times New Roman" w:hAnsi="Segoe UI" w:cs="Segoe UI"/>
          <w:color w:val="212529"/>
          <w:sz w:val="24"/>
          <w:szCs w:val="24"/>
          <w:lang w:eastAsia="cs-CZ"/>
        </w:rPr>
        <w:t>eGovernmentu</w:t>
      </w:r>
      <w:proofErr w:type="spellEnd"/>
      <w:r w:rsidRPr="00295EDC">
        <w:rPr>
          <w:rFonts w:ascii="Segoe UI" w:eastAsia="Times New Roman" w:hAnsi="Segoe UI" w:cs="Segoe UI"/>
          <w:color w:val="212529"/>
          <w:sz w:val="24"/>
          <w:szCs w:val="24"/>
          <w:lang w:eastAsia="cs-CZ"/>
        </w:rPr>
        <w:t xml:space="preserve"> a odbor veřejné správy, dozoru a kontroly. Oba útvary lze kontaktovat na e-mailu: </w:t>
      </w:r>
      <w:hyperlink r:id="rId6" w:history="1">
        <w:r w:rsidRPr="00295EDC">
          <w:rPr>
            <w:rFonts w:ascii="Segoe UI" w:eastAsia="Times New Roman" w:hAnsi="Segoe UI" w:cs="Segoe UI"/>
            <w:color w:val="C81D2F"/>
            <w:sz w:val="24"/>
            <w:szCs w:val="24"/>
            <w:u w:val="single"/>
            <w:lang w:eastAsia="cs-CZ"/>
          </w:rPr>
          <w:t>posta@mvcr.cz</w:t>
        </w:r>
      </w:hyperlink>
      <w:r w:rsidRPr="00295EDC">
        <w:rPr>
          <w:rFonts w:ascii="Segoe UI" w:eastAsia="Times New Roman" w:hAnsi="Segoe UI" w:cs="Segoe UI"/>
          <w:color w:val="212529"/>
          <w:sz w:val="24"/>
          <w:szCs w:val="24"/>
          <w:lang w:eastAsia="cs-CZ"/>
        </w:rPr>
        <w:t>.</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Pevně věříme, že zejména novelizovaná právní úprava, jež navazuje na dosavadní aplikační praxi, nejen upřesní postupy, ale současně je i usnadnění v případech vyřizování žádostí o informace.</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i/>
          <w:iCs/>
          <w:color w:val="212529"/>
          <w:sz w:val="24"/>
          <w:szCs w:val="24"/>
          <w:lang w:eastAsia="cs-CZ"/>
        </w:rPr>
        <w:t xml:space="preserve">Mgr. Alena </w:t>
      </w:r>
      <w:proofErr w:type="spellStart"/>
      <w:r w:rsidRPr="00295EDC">
        <w:rPr>
          <w:rFonts w:ascii="Segoe UI" w:eastAsia="Times New Roman" w:hAnsi="Segoe UI" w:cs="Segoe UI"/>
          <w:i/>
          <w:iCs/>
          <w:color w:val="212529"/>
          <w:sz w:val="24"/>
          <w:szCs w:val="24"/>
          <w:lang w:eastAsia="cs-CZ"/>
        </w:rPr>
        <w:t>Klimt</w:t>
      </w:r>
      <w:proofErr w:type="spellEnd"/>
      <w:r w:rsidRPr="00295EDC">
        <w:rPr>
          <w:rFonts w:ascii="Segoe UI" w:eastAsia="Times New Roman" w:hAnsi="Segoe UI" w:cs="Segoe UI"/>
          <w:i/>
          <w:iCs/>
          <w:color w:val="212529"/>
          <w:sz w:val="24"/>
          <w:szCs w:val="24"/>
          <w:lang w:eastAsia="cs-CZ"/>
        </w:rPr>
        <w:t xml:space="preserve">, </w:t>
      </w:r>
      <w:proofErr w:type="spellStart"/>
      <w:r w:rsidRPr="00295EDC">
        <w:rPr>
          <w:rFonts w:ascii="Segoe UI" w:eastAsia="Times New Roman" w:hAnsi="Segoe UI" w:cs="Segoe UI"/>
          <w:i/>
          <w:iCs/>
          <w:color w:val="212529"/>
          <w:sz w:val="24"/>
          <w:szCs w:val="24"/>
          <w:lang w:eastAsia="cs-CZ"/>
        </w:rPr>
        <w:t>DiS</w:t>
      </w:r>
      <w:proofErr w:type="spellEnd"/>
      <w:r w:rsidRPr="00295EDC">
        <w:rPr>
          <w:rFonts w:ascii="Segoe UI" w:eastAsia="Times New Roman" w:hAnsi="Segoe UI" w:cs="Segoe UI"/>
          <w:i/>
          <w:iCs/>
          <w:color w:val="212529"/>
          <w:sz w:val="24"/>
          <w:szCs w:val="24"/>
          <w:lang w:eastAsia="cs-CZ"/>
        </w:rPr>
        <w:t>., Legislativní a právní sekce SMO ČR</w:t>
      </w:r>
    </w:p>
    <w:p w:rsidR="00295EDC" w:rsidRPr="00295EDC" w:rsidRDefault="00295EDC" w:rsidP="00295EDC">
      <w:pPr>
        <w:shd w:val="clear" w:color="auto" w:fill="FFFFFF"/>
        <w:spacing w:after="100" w:afterAutospacing="1" w:line="240" w:lineRule="auto"/>
        <w:outlineLvl w:val="1"/>
        <w:rPr>
          <w:rFonts w:ascii="Segoe UI" w:eastAsia="Times New Roman" w:hAnsi="Segoe UI" w:cs="Segoe UI"/>
          <w:color w:val="212529"/>
          <w:sz w:val="36"/>
          <w:szCs w:val="36"/>
          <w:lang w:eastAsia="cs-CZ"/>
        </w:rPr>
      </w:pPr>
      <w:bookmarkStart w:id="0" w:name="title1"/>
      <w:bookmarkEnd w:id="0"/>
      <w:r w:rsidRPr="00295EDC">
        <w:rPr>
          <w:rFonts w:ascii="Segoe UI" w:eastAsia="Times New Roman" w:hAnsi="Segoe UI" w:cs="Segoe UI"/>
          <w:color w:val="212529"/>
          <w:sz w:val="36"/>
          <w:szCs w:val="36"/>
          <w:lang w:eastAsia="cs-CZ"/>
        </w:rPr>
        <w:t>Vymezení veřejného podniku</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Citujeme ze </w:t>
      </w:r>
      <w:hyperlink r:id="rId7" w:tgtFrame="_blank" w:history="1">
        <w:r w:rsidRPr="00295EDC">
          <w:rPr>
            <w:rFonts w:ascii="Segoe UI" w:eastAsia="Times New Roman" w:hAnsi="Segoe UI" w:cs="Segoe UI"/>
            <w:color w:val="C81D2F"/>
            <w:sz w:val="24"/>
            <w:szCs w:val="24"/>
            <w:u w:val="single"/>
            <w:lang w:eastAsia="cs-CZ"/>
          </w:rPr>
          <w:t>sněmovního tisku č. 222</w:t>
        </w:r>
      </w:hyperlink>
      <w:r w:rsidRPr="00295EDC">
        <w:rPr>
          <w:rFonts w:ascii="Segoe UI" w:eastAsia="Times New Roman" w:hAnsi="Segoe UI" w:cs="Segoe UI"/>
          <w:color w:val="212529"/>
          <w:sz w:val="24"/>
          <w:szCs w:val="24"/>
          <w:lang w:eastAsia="cs-CZ"/>
        </w:rPr>
        <w:t>, kde najdete navrhované znění včetně důvodové zprávy, z které citujeme:</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b/>
          <w:bCs/>
          <w:color w:val="212529"/>
          <w:sz w:val="24"/>
          <w:szCs w:val="24"/>
          <w:u w:val="single"/>
          <w:lang w:eastAsia="cs-CZ"/>
        </w:rPr>
        <w:lastRenderedPageBreak/>
        <w:t>"c) vymezení veřejného podniku v navržené změně zákona č. 106/1999 Sb.</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Z výše uvedeného přehledu vyplývá, že stávající vymezení povinných subjektů v § 2 odst. 1 zákona č. 106/1999 Sb. se s vymezením povinných subjektů ve smyslu Směrnice sice z větší části překrývá, nejedná se však o identické množiny. Rozdíl spočívá v tom, že do kategorie veřejných institucí spadá širší okruh subjektů, než vyžaduje Směrnice z hlediska předmětu jejich činnosti, na druhou stranu je tento okruh užší, neboť veřejnou institucí jsou pouze – zjednodušeně řečeno – 100% státní, obecní či krajské právnické osoby, nikoli (též) ty, které jsou státem či samosprávou pouze ovládány.</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Jelikož základním východiskem novelizace je, že nedojde k zúžení stávajícího okruhu povinných subjektů, nepřistupuje návrh k omezení povinných subjektů (veřejných institucí) jen na ty, které by jimi musely být podle Směrnice (na ty, které vykonávají činnost ve smyslu Směrnice). Je však nutné, má-li být splněn požadavek Směrnice, aby byl okruh povinných subjektů rozšířen o ty, které ve smyslu Směrnice mají být povinnými subjekty, ale české právo s nimi jako s povinnými subjekty dosud nepočítá. </w:t>
      </w:r>
      <w:r w:rsidRPr="00295EDC">
        <w:rPr>
          <w:rFonts w:ascii="Segoe UI" w:eastAsia="Times New Roman" w:hAnsi="Segoe UI" w:cs="Segoe UI"/>
          <w:b/>
          <w:bCs/>
          <w:color w:val="212529"/>
          <w:sz w:val="24"/>
          <w:szCs w:val="24"/>
          <w:lang w:eastAsia="cs-CZ"/>
        </w:rPr>
        <w:t>Jedná se o právnické osoby ovládané státem či samosprávou, které vykonávají činnosti</w:t>
      </w:r>
      <w:r w:rsidRPr="00295EDC">
        <w:rPr>
          <w:rFonts w:ascii="Segoe UI" w:eastAsia="Times New Roman" w:hAnsi="Segoe UI" w:cs="Segoe UI"/>
          <w:b/>
          <w:bCs/>
          <w:i/>
          <w:iCs/>
          <w:color w:val="212529"/>
          <w:sz w:val="24"/>
          <w:szCs w:val="24"/>
          <w:lang w:eastAsia="cs-CZ"/>
        </w:rPr>
        <w:t> tzv. veřejného podniku </w:t>
      </w:r>
      <w:r w:rsidRPr="00295EDC">
        <w:rPr>
          <w:rFonts w:ascii="Segoe UI" w:eastAsia="Times New Roman" w:hAnsi="Segoe UI" w:cs="Segoe UI"/>
          <w:b/>
          <w:bCs/>
          <w:color w:val="212529"/>
          <w:sz w:val="24"/>
          <w:szCs w:val="24"/>
          <w:lang w:eastAsia="cs-CZ"/>
        </w:rPr>
        <w:t>ve smyslu Směrnice.</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Novela proto v § 2a rozšiřuje okruh povinných subjektů o </w:t>
      </w:r>
      <w:r w:rsidRPr="00295EDC">
        <w:rPr>
          <w:rFonts w:ascii="Segoe UI" w:eastAsia="Times New Roman" w:hAnsi="Segoe UI" w:cs="Segoe UI"/>
          <w:b/>
          <w:bCs/>
          <w:color w:val="212529"/>
          <w:sz w:val="24"/>
          <w:szCs w:val="24"/>
          <w:lang w:eastAsia="cs-CZ"/>
        </w:rPr>
        <w:t>tzv. veřejný podnik</w:t>
      </w:r>
      <w:r w:rsidRPr="00295EDC">
        <w:rPr>
          <w:rFonts w:ascii="Segoe UI" w:eastAsia="Times New Roman" w:hAnsi="Segoe UI" w:cs="Segoe UI"/>
          <w:color w:val="212529"/>
          <w:sz w:val="24"/>
          <w:szCs w:val="24"/>
          <w:lang w:eastAsia="cs-CZ"/>
        </w:rPr>
        <w:t xml:space="preserve"> jako specifickou kategorii. Oproti Směrnici se ovšem jedná o vymezení užší, protože ty veřejné podniky ve smyslu Směrnice, které jsou 100% státní, obecní či krajské, v současnosti spadají do kategorie veřejné instituce podle § 2 odst. 1 a budou jimi i nadále (tedy s plnou informační povinností). Proto pojetí veřejného podniku v § 2a pokrývá pouze ty „zbývající“ veřejné podniky ve smyslu Směrnice, které nesplňují </w:t>
      </w:r>
      <w:proofErr w:type="spellStart"/>
      <w:r w:rsidRPr="00295EDC">
        <w:rPr>
          <w:rFonts w:ascii="Segoe UI" w:eastAsia="Times New Roman" w:hAnsi="Segoe UI" w:cs="Segoe UI"/>
          <w:color w:val="212529"/>
          <w:sz w:val="24"/>
          <w:szCs w:val="24"/>
          <w:lang w:eastAsia="cs-CZ"/>
        </w:rPr>
        <w:t>judikatorní</w:t>
      </w:r>
      <w:proofErr w:type="spellEnd"/>
      <w:r w:rsidRPr="00295EDC">
        <w:rPr>
          <w:rFonts w:ascii="Segoe UI" w:eastAsia="Times New Roman" w:hAnsi="Segoe UI" w:cs="Segoe UI"/>
          <w:color w:val="212529"/>
          <w:sz w:val="24"/>
          <w:szCs w:val="24"/>
          <w:lang w:eastAsia="cs-CZ"/>
        </w:rPr>
        <w:t xml:space="preserve"> chápání pojmu veřejná instituce (tedy ty, které jsou státem či samosprávou ovládány a vykonávají příslušné činnosti podle Směrnice), a nyní proto nejsou povinnými subjekty. Obsahově tedy bude </w:t>
      </w:r>
      <w:r w:rsidRPr="00295EDC">
        <w:rPr>
          <w:rFonts w:ascii="Segoe UI" w:eastAsia="Times New Roman" w:hAnsi="Segoe UI" w:cs="Segoe UI"/>
          <w:i/>
          <w:iCs/>
          <w:color w:val="212529"/>
          <w:sz w:val="24"/>
          <w:szCs w:val="24"/>
          <w:lang w:eastAsia="cs-CZ"/>
        </w:rPr>
        <w:t>veřejný podnik </w:t>
      </w:r>
      <w:r w:rsidRPr="00295EDC">
        <w:rPr>
          <w:rFonts w:ascii="Segoe UI" w:eastAsia="Times New Roman" w:hAnsi="Segoe UI" w:cs="Segoe UI"/>
          <w:color w:val="212529"/>
          <w:sz w:val="24"/>
          <w:szCs w:val="24"/>
          <w:lang w:eastAsia="cs-CZ"/>
        </w:rPr>
        <w:t>ve smyslu Směrnice zčásti veřejnou institucí podle § 2 odst. 1 a z části veřejným podnikem podle nového § 2a (dochází tak sice k plné obsahové transpozici Směrnice, ale z důvodu legislativního vymezení povinných subjektů nikoli v rámci jedné speciální kategorie povinných subjektů podle zákona č. 106/1999 Sb.). Současně platí, že veřejné podniky mající postavení veřejné instituce budou mít plnou informační povinnost, veřejné podniky ve smyslu § 2a ji budou mít omezenou (srov. dále). </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b/>
          <w:bCs/>
          <w:color w:val="212529"/>
          <w:sz w:val="24"/>
          <w:szCs w:val="24"/>
          <w:lang w:eastAsia="cs-CZ"/>
        </w:rPr>
        <w:t>Veřejnými podniky ve smyslu § 2a jsou ty právnické osoby soukromého práva, které jsou státem, územní samosprávou nebo jiným povinným subjektem „ovládány“ (slovy zákona vykonává „dominantní vliv“). Druhou podmínkou je, že se tyto právnické osoby věnují činnostem vymezeným Směrnicí, resp. zákonem. Třetí podmínkou je, že nejde o povinný subjekt ve smyslu § 2 odst. 1.</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Podstatné je, že jiný povinný subjekt v nich bude vykonávat tzv. </w:t>
      </w:r>
      <w:r w:rsidRPr="00295EDC">
        <w:rPr>
          <w:rFonts w:ascii="Segoe UI" w:eastAsia="Times New Roman" w:hAnsi="Segoe UI" w:cs="Segoe UI"/>
          <w:i/>
          <w:iCs/>
          <w:color w:val="212529"/>
          <w:sz w:val="24"/>
          <w:szCs w:val="24"/>
          <w:lang w:eastAsia="cs-CZ"/>
        </w:rPr>
        <w:t>dominantní vliv na základě účasti v této právnické osobě nebo na základě pravidel, jimiž se řídí</w:t>
      </w:r>
      <w:r w:rsidRPr="00295EDC">
        <w:rPr>
          <w:rFonts w:ascii="Segoe UI" w:eastAsia="Times New Roman" w:hAnsi="Segoe UI" w:cs="Segoe UI"/>
          <w:b/>
          <w:bCs/>
          <w:i/>
          <w:iCs/>
          <w:color w:val="212529"/>
          <w:sz w:val="24"/>
          <w:szCs w:val="24"/>
          <w:lang w:eastAsia="cs-CZ"/>
        </w:rPr>
        <w:t>.</w:t>
      </w:r>
      <w:r w:rsidRPr="00295EDC">
        <w:rPr>
          <w:rFonts w:ascii="Segoe UI" w:eastAsia="Times New Roman" w:hAnsi="Segoe UI" w:cs="Segoe UI"/>
          <w:color w:val="212529"/>
          <w:sz w:val="24"/>
          <w:szCs w:val="24"/>
          <w:lang w:eastAsia="cs-CZ"/>
        </w:rPr>
        <w:t xml:space="preserve"> Návrh </w:t>
      </w:r>
      <w:r w:rsidRPr="00295EDC">
        <w:rPr>
          <w:rFonts w:ascii="Segoe UI" w:eastAsia="Times New Roman" w:hAnsi="Segoe UI" w:cs="Segoe UI"/>
          <w:color w:val="212529"/>
          <w:sz w:val="24"/>
          <w:szCs w:val="24"/>
          <w:lang w:eastAsia="cs-CZ"/>
        </w:rPr>
        <w:lastRenderedPageBreak/>
        <w:t>obsahuje i vyvratitelnou právní domněnku předpokladu dominantního vlivu, tedy pokud stát, územní samosprávný celek nebo veřejná instituce přímo či nepřímo drží většinu upsaného základního kapitálu; disponují většinou hlasovacích práv vyplývajících z podílu na této právnické osobě, nebo mohou jmenovat více než polovinu členů správního, řídícího nebo dozorčího orgánu právnické osoby."</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Pojem dominantní vliv není v českém právním řádu nový. Užívá jej ustanovení </w:t>
      </w:r>
      <w:hyperlink r:id="rId8" w:tooltip="" w:history="1">
        <w:r w:rsidRPr="00295EDC">
          <w:rPr>
            <w:rFonts w:ascii="Segoe UI" w:eastAsia="Times New Roman" w:hAnsi="Segoe UI" w:cs="Segoe UI"/>
            <w:color w:val="C81D2F"/>
            <w:sz w:val="24"/>
            <w:szCs w:val="24"/>
            <w:u w:val="single"/>
            <w:lang w:eastAsia="cs-CZ"/>
          </w:rPr>
          <w:t>§ 151 zákona č. 134/2016 Sb.</w:t>
        </w:r>
      </w:hyperlink>
      <w:r w:rsidRPr="00295EDC">
        <w:rPr>
          <w:rFonts w:ascii="Segoe UI" w:eastAsia="Times New Roman" w:hAnsi="Segoe UI" w:cs="Segoe UI"/>
          <w:color w:val="212529"/>
          <w:sz w:val="24"/>
          <w:szCs w:val="24"/>
          <w:lang w:eastAsia="cs-CZ"/>
        </w:rPr>
        <w:t>, o zadávání veřejných zakázek."</w:t>
      </w:r>
    </w:p>
    <w:p w:rsidR="00295EDC" w:rsidRPr="00295EDC" w:rsidRDefault="00295EDC" w:rsidP="00295EDC">
      <w:pPr>
        <w:shd w:val="clear" w:color="auto" w:fill="FFFFFF"/>
        <w:spacing w:after="100" w:afterAutospacing="1" w:line="240" w:lineRule="auto"/>
        <w:outlineLvl w:val="1"/>
        <w:rPr>
          <w:rFonts w:ascii="Segoe UI" w:eastAsia="Times New Roman" w:hAnsi="Segoe UI" w:cs="Segoe UI"/>
          <w:color w:val="212529"/>
          <w:sz w:val="36"/>
          <w:szCs w:val="36"/>
          <w:lang w:eastAsia="cs-CZ"/>
        </w:rPr>
      </w:pPr>
      <w:bookmarkStart w:id="1" w:name="title2"/>
      <w:bookmarkEnd w:id="1"/>
      <w:r w:rsidRPr="00295EDC">
        <w:rPr>
          <w:rFonts w:ascii="Segoe UI" w:eastAsia="Times New Roman" w:hAnsi="Segoe UI" w:cs="Segoe UI"/>
          <w:color w:val="212529"/>
          <w:sz w:val="36"/>
          <w:szCs w:val="36"/>
          <w:lang w:eastAsia="cs-CZ"/>
        </w:rPr>
        <w:t>TZ SMS ČR</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i/>
          <w:iCs/>
          <w:color w:val="212529"/>
          <w:sz w:val="24"/>
          <w:szCs w:val="24"/>
          <w:lang w:eastAsia="cs-CZ"/>
        </w:rPr>
        <w:t>„Z pohledu samospráv považujeme za důležité, že se v textu zákona nově výslovně hovoří o možnosti odmítnout žádost s poukazem na zneužití práva ve stanovených formách,“</w:t>
      </w:r>
      <w:r w:rsidRPr="00295EDC">
        <w:rPr>
          <w:rFonts w:ascii="Segoe UI" w:eastAsia="Times New Roman" w:hAnsi="Segoe UI" w:cs="Segoe UI"/>
          <w:color w:val="212529"/>
          <w:sz w:val="24"/>
          <w:szCs w:val="24"/>
          <w:lang w:eastAsia="cs-CZ"/>
        </w:rPr>
        <w:t> říká </w:t>
      </w:r>
      <w:r w:rsidRPr="00295EDC">
        <w:rPr>
          <w:rFonts w:ascii="Segoe UI" w:eastAsia="Times New Roman" w:hAnsi="Segoe UI" w:cs="Segoe UI"/>
          <w:b/>
          <w:bCs/>
          <w:color w:val="212529"/>
          <w:sz w:val="24"/>
          <w:szCs w:val="24"/>
          <w:lang w:eastAsia="cs-CZ"/>
        </w:rPr>
        <w:t xml:space="preserve">Eliška </w:t>
      </w:r>
      <w:proofErr w:type="spellStart"/>
      <w:r w:rsidRPr="00295EDC">
        <w:rPr>
          <w:rFonts w:ascii="Segoe UI" w:eastAsia="Times New Roman" w:hAnsi="Segoe UI" w:cs="Segoe UI"/>
          <w:b/>
          <w:bCs/>
          <w:color w:val="212529"/>
          <w:sz w:val="24"/>
          <w:szCs w:val="24"/>
          <w:lang w:eastAsia="cs-CZ"/>
        </w:rPr>
        <w:t>Olšáková</w:t>
      </w:r>
      <w:proofErr w:type="spellEnd"/>
      <w:r w:rsidRPr="00295EDC">
        <w:rPr>
          <w:rFonts w:ascii="Segoe UI" w:eastAsia="Times New Roman" w:hAnsi="Segoe UI" w:cs="Segoe UI"/>
          <w:color w:val="212529"/>
          <w:sz w:val="24"/>
          <w:szCs w:val="24"/>
          <w:lang w:eastAsia="cs-CZ"/>
        </w:rPr>
        <w:t>, předsedkyně SMS ČR která se v průběhu projednávání novely v Poslanecké sněmovně společně s experty podílela na přípravě příslušných pozměňovacích návrhů.</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i/>
          <w:iCs/>
          <w:color w:val="212529"/>
          <w:sz w:val="24"/>
          <w:szCs w:val="24"/>
          <w:lang w:eastAsia="cs-CZ"/>
        </w:rPr>
        <w:t>„SMS ČR dlouhodobě vnímá, že obce a města jsou konfrontovány dotazy kverulantů, kteří se sice odvolávají na právo na přístup k informacím, ale ve skutečnosti jde z jejich strany o očividnou šikanu, která pro povinné subjekty neznamená nic jiného než nesmyslnou zátěž. Postavení samospráv se přijetím novely posílí a posílena bude také jejich právní jistota,“</w:t>
      </w:r>
      <w:r w:rsidRPr="00295EDC">
        <w:rPr>
          <w:rFonts w:ascii="Segoe UI" w:eastAsia="Times New Roman" w:hAnsi="Segoe UI" w:cs="Segoe UI"/>
          <w:color w:val="212529"/>
          <w:sz w:val="24"/>
          <w:szCs w:val="24"/>
          <w:lang w:eastAsia="cs-CZ"/>
        </w:rPr>
        <w:t xml:space="preserve"> vysvětluje </w:t>
      </w:r>
      <w:proofErr w:type="spellStart"/>
      <w:r w:rsidRPr="00295EDC">
        <w:rPr>
          <w:rFonts w:ascii="Segoe UI" w:eastAsia="Times New Roman" w:hAnsi="Segoe UI" w:cs="Segoe UI"/>
          <w:color w:val="212529"/>
          <w:sz w:val="24"/>
          <w:szCs w:val="24"/>
          <w:lang w:eastAsia="cs-CZ"/>
        </w:rPr>
        <w:t>Olšáková</w:t>
      </w:r>
      <w:proofErr w:type="spellEnd"/>
      <w:r w:rsidRPr="00295EDC">
        <w:rPr>
          <w:rFonts w:ascii="Segoe UI" w:eastAsia="Times New Roman" w:hAnsi="Segoe UI" w:cs="Segoe UI"/>
          <w:color w:val="212529"/>
          <w:sz w:val="24"/>
          <w:szCs w:val="24"/>
          <w:lang w:eastAsia="cs-CZ"/>
        </w:rPr>
        <w:t>.</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i/>
          <w:iCs/>
          <w:color w:val="212529"/>
          <w:sz w:val="24"/>
          <w:szCs w:val="24"/>
          <w:lang w:eastAsia="cs-CZ"/>
        </w:rPr>
        <w:t xml:space="preserve">„Důvodem pro odmítnutí žádostí může být např. jejich podávání většímu počtu povinných subjektů bez zjevné obsahové souvislosti požadovaných informací. To zrcadlí naši vlastní zkušenost, kdy někteří </w:t>
      </w:r>
      <w:proofErr w:type="spellStart"/>
      <w:r w:rsidRPr="00295EDC">
        <w:rPr>
          <w:rFonts w:ascii="Segoe UI" w:eastAsia="Times New Roman" w:hAnsi="Segoe UI" w:cs="Segoe UI"/>
          <w:i/>
          <w:iCs/>
          <w:color w:val="212529"/>
          <w:sz w:val="24"/>
          <w:szCs w:val="24"/>
          <w:lang w:eastAsia="cs-CZ"/>
        </w:rPr>
        <w:t>výtečníci</w:t>
      </w:r>
      <w:proofErr w:type="spellEnd"/>
      <w:r w:rsidRPr="00295EDC">
        <w:rPr>
          <w:rFonts w:ascii="Segoe UI" w:eastAsia="Times New Roman" w:hAnsi="Segoe UI" w:cs="Segoe UI"/>
          <w:i/>
          <w:iCs/>
          <w:color w:val="212529"/>
          <w:sz w:val="24"/>
          <w:szCs w:val="24"/>
          <w:lang w:eastAsia="cs-CZ"/>
        </w:rPr>
        <w:t xml:space="preserve"> svými dotazy znepříjemňovali život obcím a městům napříč Českou republikou, aniž by byl patrný jakýkoli rozumný cíl,“</w:t>
      </w:r>
      <w:r w:rsidRPr="00295EDC">
        <w:rPr>
          <w:rFonts w:ascii="Segoe UI" w:eastAsia="Times New Roman" w:hAnsi="Segoe UI" w:cs="Segoe UI"/>
          <w:color w:val="212529"/>
          <w:sz w:val="24"/>
          <w:szCs w:val="24"/>
          <w:lang w:eastAsia="cs-CZ"/>
        </w:rPr>
        <w:t xml:space="preserve"> konstatuje Lenka </w:t>
      </w:r>
      <w:proofErr w:type="spellStart"/>
      <w:r w:rsidRPr="00295EDC">
        <w:rPr>
          <w:rFonts w:ascii="Segoe UI" w:eastAsia="Times New Roman" w:hAnsi="Segoe UI" w:cs="Segoe UI"/>
          <w:color w:val="212529"/>
          <w:sz w:val="24"/>
          <w:szCs w:val="24"/>
          <w:lang w:eastAsia="cs-CZ"/>
        </w:rPr>
        <w:t>Matějová</w:t>
      </w:r>
      <w:proofErr w:type="spellEnd"/>
      <w:r w:rsidRPr="00295EDC">
        <w:rPr>
          <w:rFonts w:ascii="Segoe UI" w:eastAsia="Times New Roman" w:hAnsi="Segoe UI" w:cs="Segoe UI"/>
          <w:color w:val="212529"/>
          <w:sz w:val="24"/>
          <w:szCs w:val="24"/>
          <w:lang w:eastAsia="cs-CZ"/>
        </w:rPr>
        <w:t xml:space="preserve">, legislativní analytička SMS ČR, která samosprávám pomáhá s aplikací </w:t>
      </w:r>
      <w:proofErr w:type="spellStart"/>
      <w:r w:rsidRPr="00295EDC">
        <w:rPr>
          <w:rFonts w:ascii="Segoe UI" w:eastAsia="Times New Roman" w:hAnsi="Segoe UI" w:cs="Segoe UI"/>
          <w:color w:val="212529"/>
          <w:sz w:val="24"/>
          <w:szCs w:val="24"/>
          <w:lang w:eastAsia="cs-CZ"/>
        </w:rPr>
        <w:t>infozákona</w:t>
      </w:r>
      <w:proofErr w:type="spellEnd"/>
      <w:r w:rsidRPr="00295EDC">
        <w:rPr>
          <w:rFonts w:ascii="Segoe UI" w:eastAsia="Times New Roman" w:hAnsi="Segoe UI" w:cs="Segoe UI"/>
          <w:color w:val="212529"/>
          <w:sz w:val="24"/>
          <w:szCs w:val="24"/>
          <w:lang w:eastAsia="cs-CZ"/>
        </w:rPr>
        <w:t xml:space="preserve"> v praxi.</w:t>
      </w:r>
    </w:p>
    <w:p w:rsid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lang w:eastAsia="cs-CZ"/>
        </w:rPr>
        <w:t xml:space="preserve">Vedle výslovné úpravy týkající se tzv. </w:t>
      </w:r>
      <w:proofErr w:type="spellStart"/>
      <w:r w:rsidRPr="00295EDC">
        <w:rPr>
          <w:rFonts w:ascii="Segoe UI" w:eastAsia="Times New Roman" w:hAnsi="Segoe UI" w:cs="Segoe UI"/>
          <w:color w:val="212529"/>
          <w:sz w:val="24"/>
          <w:szCs w:val="24"/>
          <w:lang w:eastAsia="cs-CZ"/>
        </w:rPr>
        <w:t>šikanózních</w:t>
      </w:r>
      <w:proofErr w:type="spellEnd"/>
      <w:r w:rsidRPr="00295EDC">
        <w:rPr>
          <w:rFonts w:ascii="Segoe UI" w:eastAsia="Times New Roman" w:hAnsi="Segoe UI" w:cs="Segoe UI"/>
          <w:color w:val="212529"/>
          <w:sz w:val="24"/>
          <w:szCs w:val="24"/>
          <w:lang w:eastAsia="cs-CZ"/>
        </w:rPr>
        <w:t xml:space="preserve"> žádostí novela rozšiřuje okruh povinných subjektů o veřejné podniky, zavádí povinnost zveřejňovat ve formě otevřených dat tzv. dynamická data, nebo v návaznosti na judikaturu Ústavního soudu upravuje poskytování informací o platech a odměnách. Podrobnější seznámení s obsahem novely přinese zářijové vydání zpravodaje SMS ČR „</w:t>
      </w:r>
      <w:proofErr w:type="spellStart"/>
      <w:r w:rsidRPr="00295EDC">
        <w:rPr>
          <w:rFonts w:ascii="Segoe UI" w:eastAsia="Times New Roman" w:hAnsi="Segoe UI" w:cs="Segoe UI"/>
          <w:color w:val="212529"/>
          <w:sz w:val="24"/>
          <w:szCs w:val="24"/>
          <w:lang w:eastAsia="cs-CZ"/>
        </w:rPr>
        <w:t>SMSka</w:t>
      </w:r>
      <w:proofErr w:type="spellEnd"/>
      <w:r w:rsidRPr="00295EDC">
        <w:rPr>
          <w:rFonts w:ascii="Segoe UI" w:eastAsia="Times New Roman" w:hAnsi="Segoe UI" w:cs="Segoe UI"/>
          <w:color w:val="212529"/>
          <w:sz w:val="24"/>
          <w:szCs w:val="24"/>
          <w:lang w:eastAsia="cs-CZ"/>
        </w:rPr>
        <w:t>“.</w:t>
      </w:r>
    </w:p>
    <w:p w:rsidR="00295EDC" w:rsidRPr="00295EDC" w:rsidRDefault="00295EDC" w:rsidP="00295EDC">
      <w:pPr>
        <w:shd w:val="clear" w:color="auto" w:fill="FFFFFF"/>
        <w:spacing w:after="100" w:afterAutospacing="1" w:line="240" w:lineRule="auto"/>
        <w:rPr>
          <w:rFonts w:ascii="Segoe UI" w:eastAsia="Times New Roman" w:hAnsi="Segoe UI" w:cs="Segoe UI"/>
          <w:color w:val="212529"/>
          <w:sz w:val="24"/>
          <w:szCs w:val="24"/>
          <w:lang w:eastAsia="cs-CZ"/>
        </w:rPr>
      </w:pPr>
      <w:r w:rsidRPr="00295EDC">
        <w:rPr>
          <w:rFonts w:ascii="Segoe UI" w:eastAsia="Times New Roman" w:hAnsi="Segoe UI" w:cs="Segoe UI"/>
          <w:color w:val="212529"/>
          <w:sz w:val="24"/>
          <w:szCs w:val="24"/>
          <w:highlight w:val="yellow"/>
          <w:lang w:eastAsia="cs-CZ"/>
        </w:rPr>
        <w:t>ZDROJ: SVAZ MĚST A OBCÍ ČR</w:t>
      </w:r>
    </w:p>
    <w:p w:rsidR="002D22A3" w:rsidRDefault="002D22A3"/>
    <w:sectPr w:rsidR="002D22A3" w:rsidSect="002D22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6BC"/>
    <w:multiLevelType w:val="multilevel"/>
    <w:tmpl w:val="1768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17B43"/>
    <w:multiLevelType w:val="multilevel"/>
    <w:tmpl w:val="ED5C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95EDC"/>
    <w:rsid w:val="00295EDC"/>
    <w:rsid w:val="002D22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22A3"/>
  </w:style>
  <w:style w:type="paragraph" w:styleId="Nadpis1">
    <w:name w:val="heading 1"/>
    <w:basedOn w:val="Normln"/>
    <w:next w:val="Normln"/>
    <w:link w:val="Nadpis1Char"/>
    <w:uiPriority w:val="9"/>
    <w:qFormat/>
    <w:rsid w:val="00295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295ED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95EDC"/>
    <w:rPr>
      <w:rFonts w:ascii="Times New Roman" w:eastAsia="Times New Roman" w:hAnsi="Times New Roman" w:cs="Times New Roman"/>
      <w:b/>
      <w:bCs/>
      <w:sz w:val="36"/>
      <w:szCs w:val="36"/>
      <w:lang w:eastAsia="cs-CZ"/>
    </w:rPr>
  </w:style>
  <w:style w:type="paragraph" w:customStyle="1" w:styleId="docabstract">
    <w:name w:val="docabstract"/>
    <w:basedOn w:val="Normln"/>
    <w:rsid w:val="00295ED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95E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95EDC"/>
    <w:rPr>
      <w:color w:val="0000FF"/>
      <w:u w:val="single"/>
    </w:rPr>
  </w:style>
  <w:style w:type="character" w:styleId="Zvraznn">
    <w:name w:val="Emphasis"/>
    <w:basedOn w:val="Standardnpsmoodstavce"/>
    <w:uiPriority w:val="20"/>
    <w:qFormat/>
    <w:rsid w:val="00295EDC"/>
    <w:rPr>
      <w:i/>
      <w:iCs/>
    </w:rPr>
  </w:style>
  <w:style w:type="character" w:styleId="Siln">
    <w:name w:val="Strong"/>
    <w:basedOn w:val="Standardnpsmoodstavce"/>
    <w:uiPriority w:val="22"/>
    <w:qFormat/>
    <w:rsid w:val="00295EDC"/>
    <w:rPr>
      <w:b/>
      <w:bCs/>
    </w:rPr>
  </w:style>
  <w:style w:type="character" w:customStyle="1" w:styleId="Nadpis1Char">
    <w:name w:val="Nadpis 1 Char"/>
    <w:basedOn w:val="Standardnpsmoodstavce"/>
    <w:link w:val="Nadpis1"/>
    <w:uiPriority w:val="9"/>
    <w:rsid w:val="00295E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69716054">
      <w:bodyDiv w:val="1"/>
      <w:marLeft w:val="0"/>
      <w:marRight w:val="0"/>
      <w:marTop w:val="0"/>
      <w:marBottom w:val="0"/>
      <w:divBdr>
        <w:top w:val="none" w:sz="0" w:space="0" w:color="auto"/>
        <w:left w:val="none" w:sz="0" w:space="0" w:color="auto"/>
        <w:bottom w:val="none" w:sz="0" w:space="0" w:color="auto"/>
        <w:right w:val="none" w:sz="0" w:space="0" w:color="auto"/>
      </w:divBdr>
    </w:div>
    <w:div w:id="131236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iewlawpart('134_2016%20Sb.','','%C2%A7%20151','','','1')" TargetMode="External"/><Relationship Id="rId3" Type="http://schemas.openxmlformats.org/officeDocument/2006/relationships/settings" Target="settings.xml"/><Relationship Id="rId7" Type="http://schemas.openxmlformats.org/officeDocument/2006/relationships/hyperlink" Target="https://www.psp.cz/sqw/text/historie.sqw?o=9&amp;T=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a@mvcr.cz" TargetMode="External"/><Relationship Id="rId5" Type="http://schemas.openxmlformats.org/officeDocument/2006/relationships/hyperlink" Target="https://www.google.com/url?sa=t&amp;rct=j&amp;q=&amp;esrc=s&amp;source=web&amp;cd=&amp;cad=rja&amp;uact=8&amp;ved=2ahUKEwjB5N3g_fj6AhUBQvEDHbJMArQQFnoECA4QAw&amp;url=https%3A%2F%2Fwww.mvcr.cz%2Fodk2%2Fsoubor%2Finformace-ke-zmene-zakona-c-1061999-sb-o-svobodnem-pristupu-k-informacim-ve-zneni-pozdejsich-predpisu-provedene-zakonem-c-2412022-sb.aspx&amp;usg=AOvVaw2k5e0edUoyGhiycYpYZtS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1509</Words>
  <Characters>8905</Characters>
  <Application>Microsoft Office Word</Application>
  <DocSecurity>0</DocSecurity>
  <Lines>74</Lines>
  <Paragraphs>20</Paragraphs>
  <ScaleCrop>false</ScaleCrop>
  <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1</cp:revision>
  <dcterms:created xsi:type="dcterms:W3CDTF">2022-10-26T12:41:00Z</dcterms:created>
  <dcterms:modified xsi:type="dcterms:W3CDTF">2022-10-26T12:44:00Z</dcterms:modified>
</cp:coreProperties>
</file>